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PlusNormal"/>
        <w:numPr>
          <w:ilvl w:val="0"/>
          <w:numId w:val="0"/>
        </w:numPr>
        <w:jc w:val="right"/>
        <w:outlineLvl w:val="1"/>
        <w:rPr>
          <w:rFonts w:ascii="Times New Roman" w:hAnsi="Times New Roman" w:cs="Times New Roman"/>
          <w:sz w:val="28"/>
          <w:szCs w:val="28"/>
        </w:rPr>
      </w:pPr>
      <w:bookmarkStart w:id="0" w:name="_GoBack"/>
      <w:bookmarkEnd w:id="0"/>
      <w:r>
        <w:rPr>
          <w:rFonts w:cs="Times New Roman" w:ascii="Times New Roman" w:hAnsi="Times New Roman"/>
          <w:sz w:val="28"/>
          <w:szCs w:val="28"/>
        </w:rPr>
        <w:t>Приложение 4</w:t>
      </w:r>
    </w:p>
    <w:p>
      <w:pPr>
        <w:pStyle w:val="ConsPlusNormal"/>
        <w:jc w:val="right"/>
        <w:rPr>
          <w:rFonts w:ascii="Times New Roman" w:hAnsi="Times New Roman" w:cs="Times New Roman"/>
          <w:sz w:val="28"/>
          <w:szCs w:val="28"/>
        </w:rPr>
      </w:pPr>
      <w:r>
        <w:rPr>
          <w:rFonts w:cs="Times New Roman" w:ascii="Times New Roman" w:hAnsi="Times New Roman"/>
          <w:sz w:val="28"/>
          <w:szCs w:val="28"/>
        </w:rPr>
        <w:t>к государственной программе "Создание новых</w:t>
      </w:r>
    </w:p>
    <w:p>
      <w:pPr>
        <w:pStyle w:val="ConsPlusNormal"/>
        <w:jc w:val="right"/>
        <w:rPr>
          <w:rFonts w:ascii="Times New Roman" w:hAnsi="Times New Roman" w:cs="Times New Roman"/>
          <w:sz w:val="28"/>
          <w:szCs w:val="28"/>
        </w:rPr>
      </w:pPr>
      <w:r>
        <w:rPr>
          <w:rFonts w:cs="Times New Roman" w:ascii="Times New Roman" w:hAnsi="Times New Roman"/>
          <w:sz w:val="28"/>
          <w:szCs w:val="28"/>
        </w:rPr>
        <w:t>мест в общеобразовательных организациях</w:t>
      </w:r>
    </w:p>
    <w:p>
      <w:pPr>
        <w:pStyle w:val="ConsPlusNormal"/>
        <w:jc w:val="right"/>
        <w:rPr>
          <w:rFonts w:ascii="Times New Roman" w:hAnsi="Times New Roman" w:cs="Times New Roman"/>
          <w:sz w:val="28"/>
          <w:szCs w:val="28"/>
        </w:rPr>
      </w:pPr>
      <w:r>
        <w:rPr>
          <w:rFonts w:cs="Times New Roman" w:ascii="Times New Roman" w:hAnsi="Times New Roman"/>
          <w:sz w:val="28"/>
          <w:szCs w:val="28"/>
        </w:rPr>
        <w:t>Брянской области в соответствии</w:t>
      </w:r>
    </w:p>
    <w:p>
      <w:pPr>
        <w:pStyle w:val="ConsPlusNormal"/>
        <w:jc w:val="right"/>
        <w:rPr>
          <w:rFonts w:ascii="Times New Roman" w:hAnsi="Times New Roman" w:cs="Times New Roman"/>
          <w:sz w:val="28"/>
          <w:szCs w:val="28"/>
        </w:rPr>
      </w:pPr>
      <w:r>
        <w:rPr>
          <w:rFonts w:cs="Times New Roman" w:ascii="Times New Roman" w:hAnsi="Times New Roman"/>
          <w:sz w:val="28"/>
          <w:szCs w:val="28"/>
        </w:rPr>
        <w:t>с прогнозируемой потребностью</w:t>
      </w:r>
    </w:p>
    <w:p>
      <w:pPr>
        <w:pStyle w:val="ConsPlusNormal"/>
        <w:jc w:val="right"/>
        <w:rPr>
          <w:rFonts w:ascii="Times New Roman" w:hAnsi="Times New Roman" w:cs="Times New Roman"/>
          <w:sz w:val="28"/>
          <w:szCs w:val="28"/>
        </w:rPr>
      </w:pPr>
      <w:r>
        <w:rPr>
          <w:rFonts w:cs="Times New Roman" w:ascii="Times New Roman" w:hAnsi="Times New Roman"/>
          <w:sz w:val="28"/>
          <w:szCs w:val="28"/>
        </w:rPr>
        <w:t>и современными условиями обучения"</w:t>
      </w:r>
    </w:p>
    <w:p>
      <w:pPr>
        <w:pStyle w:val="Normal"/>
        <w:spacing w:before="0" w:after="1"/>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jc w:val="center"/>
        <w:outlineLvl w:val="2"/>
        <w:rPr>
          <w:rFonts w:ascii="Times New Roman" w:hAnsi="Times New Roman" w:cs="Times New Roman"/>
          <w:sz w:val="28"/>
          <w:szCs w:val="28"/>
        </w:rPr>
      </w:pPr>
      <w:bookmarkStart w:id="1" w:name="P2078"/>
      <w:bookmarkEnd w:id="1"/>
      <w:r>
        <w:rPr>
          <w:rFonts w:cs="Times New Roman" w:ascii="Times New Roman" w:hAnsi="Times New Roman"/>
          <w:sz w:val="28"/>
          <w:szCs w:val="28"/>
        </w:rPr>
        <w:t>Порядок</w:t>
      </w:r>
    </w:p>
    <w:p>
      <w:pPr>
        <w:pStyle w:val="ConsPlusTitle"/>
        <w:jc w:val="center"/>
        <w:rPr>
          <w:rFonts w:ascii="Times New Roman" w:hAnsi="Times New Roman" w:cs="Times New Roman"/>
          <w:sz w:val="28"/>
          <w:szCs w:val="28"/>
        </w:rPr>
      </w:pPr>
      <w:r>
        <w:rPr>
          <w:rFonts w:cs="Times New Roman" w:ascii="Times New Roman" w:hAnsi="Times New Roman"/>
          <w:sz w:val="28"/>
          <w:szCs w:val="28"/>
        </w:rPr>
        <w:t>предоставления субсидий бюджетам муниципальных районов (муниципальных округов, городских округов)</w:t>
      </w:r>
    </w:p>
    <w:p>
      <w:pPr>
        <w:pStyle w:val="ConsPlusTitle"/>
        <w:jc w:val="center"/>
        <w:rPr>
          <w:rFonts w:ascii="Times New Roman" w:hAnsi="Times New Roman" w:cs="Times New Roman"/>
          <w:sz w:val="28"/>
          <w:szCs w:val="28"/>
        </w:rPr>
      </w:pPr>
      <w:r>
        <w:rPr>
          <w:rFonts w:cs="Times New Roman" w:ascii="Times New Roman" w:hAnsi="Times New Roman"/>
          <w:sz w:val="28"/>
          <w:szCs w:val="28"/>
        </w:rPr>
        <w:t>на создание новых мест в общеобразовательных организациях</w:t>
      </w:r>
    </w:p>
    <w:p>
      <w:pPr>
        <w:pStyle w:val="ConsPlusTitle"/>
        <w:jc w:val="center"/>
        <w:rPr>
          <w:rFonts w:ascii="Times New Roman" w:hAnsi="Times New Roman" w:cs="Times New Roman"/>
          <w:sz w:val="28"/>
          <w:szCs w:val="28"/>
        </w:rPr>
      </w:pPr>
      <w:r>
        <w:rPr>
          <w:rFonts w:cs="Times New Roman" w:ascii="Times New Roman" w:hAnsi="Times New Roman"/>
          <w:sz w:val="28"/>
          <w:szCs w:val="28"/>
        </w:rPr>
        <w:t>в рамках регионального проекта "Современная школа (Брянская область)" государственной программы "Создание новых мест</w:t>
      </w:r>
    </w:p>
    <w:p>
      <w:pPr>
        <w:pStyle w:val="ConsPlusTitle"/>
        <w:jc w:val="center"/>
        <w:rPr>
          <w:rFonts w:ascii="Times New Roman" w:hAnsi="Times New Roman" w:cs="Times New Roman"/>
          <w:sz w:val="28"/>
          <w:szCs w:val="28"/>
        </w:rPr>
      </w:pPr>
      <w:r>
        <w:rPr>
          <w:rFonts w:cs="Times New Roman" w:ascii="Times New Roman" w:hAnsi="Times New Roman"/>
          <w:sz w:val="28"/>
          <w:szCs w:val="28"/>
        </w:rPr>
        <w:t>в общеобразовательных организациях Брянской области</w:t>
      </w:r>
    </w:p>
    <w:p>
      <w:pPr>
        <w:pStyle w:val="ConsPlusTitle"/>
        <w:jc w:val="center"/>
        <w:rPr>
          <w:rFonts w:ascii="Times New Roman" w:hAnsi="Times New Roman" w:cs="Times New Roman"/>
          <w:sz w:val="28"/>
          <w:szCs w:val="28"/>
        </w:rPr>
      </w:pPr>
      <w:r>
        <w:rPr>
          <w:rFonts w:cs="Times New Roman" w:ascii="Times New Roman" w:hAnsi="Times New Roman"/>
          <w:sz w:val="28"/>
          <w:szCs w:val="28"/>
        </w:rPr>
        <w:t>в соответствии с прогнозируемой потребностью и современными</w:t>
      </w:r>
    </w:p>
    <w:p>
      <w:pPr>
        <w:pStyle w:val="ConsPlusTitle"/>
        <w:jc w:val="center"/>
        <w:rPr>
          <w:rFonts w:ascii="Times New Roman" w:hAnsi="Times New Roman" w:cs="Times New Roman"/>
          <w:sz w:val="28"/>
          <w:szCs w:val="28"/>
        </w:rPr>
      </w:pPr>
      <w:r>
        <w:rPr>
          <w:rFonts w:cs="Times New Roman" w:ascii="Times New Roman" w:hAnsi="Times New Roman"/>
          <w:sz w:val="28"/>
          <w:szCs w:val="28"/>
        </w:rPr>
        <w:t>условиями обучения" (за исключением софинансирования</w:t>
      </w:r>
    </w:p>
    <w:p>
      <w:pPr>
        <w:pStyle w:val="ConsPlusTitle"/>
        <w:jc w:val="center"/>
        <w:rPr>
          <w:rFonts w:ascii="Times New Roman" w:hAnsi="Times New Roman" w:cs="Times New Roman"/>
          <w:sz w:val="28"/>
          <w:szCs w:val="28"/>
        </w:rPr>
      </w:pPr>
      <w:r>
        <w:rPr>
          <w:rFonts w:cs="Times New Roman" w:ascii="Times New Roman" w:hAnsi="Times New Roman"/>
          <w:sz w:val="28"/>
          <w:szCs w:val="28"/>
        </w:rPr>
        <w:t>объектов капитальных вложений муниципальной собственности)</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1. Настоящий Порядок устанавливает цели и условия предоставления субсидий бюджетам муниципальных районов (муниципальных округов, городских округов) (далее - муниципальных образований) на оснащение новых мест средствами обучения и воспитания, необходимыми для реализации образовательных программ начального общего, основного общего и среднего общего образования, в соответствии с перечнем, утвержденным Минпросвещения России, в рамках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 (далее - субсидии), в том числе регионального проекта "Современная школа (Брянская область)", критерии отбора муниципальных образований для предоставления субсидий, порядок отчетности об использовании субсидий, а также критерии оценки эффективности использования муниципальными образованиями предоставляемых субсидий.</w:t>
      </w:r>
    </w:p>
    <w:p>
      <w:pPr>
        <w:pStyle w:val="ConsPlusNormal"/>
        <w:spacing w:before="220" w:after="0"/>
        <w:ind w:firstLine="540"/>
        <w:jc w:val="both"/>
        <w:rPr>
          <w:rFonts w:ascii="Times New Roman" w:hAnsi="Times New Roman" w:cs="Times New Roman"/>
          <w:sz w:val="28"/>
          <w:szCs w:val="28"/>
        </w:rPr>
      </w:pPr>
      <w:bookmarkStart w:id="2" w:name="P2091"/>
      <w:bookmarkEnd w:id="2"/>
      <w:r>
        <w:rPr>
          <w:rFonts w:cs="Times New Roman" w:ascii="Times New Roman" w:hAnsi="Times New Roman"/>
          <w:sz w:val="28"/>
          <w:szCs w:val="28"/>
        </w:rPr>
        <w:t>2. Субсидии бюджетам муниципальных образований предоставляются в целях софинансирования расходных обязательств муниципальных образований на оснащение новых мест средствами обучения и воспитания, необходимыми для реализации образовательных программ начального общего, основного общего и среднего общего образования, в соответствии с перечнем, утвержденным Минпросвещения России.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3. Субсидии предоставляются при условии: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а) наличия правового акта муниципального образования, утверждающего перечень мероприятий, указанных в пункте 2 настоящего Порядка, в целях софинансирования которых предоставляется субсидия, в соответствии с требованиями нормативных правовых актов Брянской области;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б) наличия в бюджете муниципального образования бюджетных ассигнований на исполнение расходного обязательства в объеме, рассчитанном с учетом предельного уровня софинансирования расходного обязательства муниципального образования из областного бюджета, утверждаемого нормативным правовым актом Правительства Брянской области;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в) заключения соглашения между департаментом и органами местного самоуправления о предоставлении субсидии (далее - соглашение) в соответствии с пунктом 10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 362-п "Об утверждении Правил формирования, предоставления распределения субсидий из областного бюджета бюджетам муниципальных образований Брянской области" (далее - Правила формирования, предоставления и распределения субсидий).</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4. Уровень софинансирования расходных обязательств муниципальных образований, указанных в пункте 2 настоящего порядка, за счет субсидий из областного бюджета не может превышать 99% объема расходного обязательства.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5. Главным распорядителем средств областного бюджета по вышеуказанным расходам является департамент образования и науки Брянской области.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6. Отбор муниципальных образований Брянской области осуществляет департамент образования и науки Брянской области.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7. Для участия в отборе муниципальные образования области представляют в департамент образования и науки Брянской области заявку на участие в отборе. Сроки предоставления заявки устанавливаются департаментом образования и науки Брянской области.</w:t>
      </w:r>
    </w:p>
    <w:p>
      <w:pPr>
        <w:pStyle w:val="ConsPlusNormal"/>
        <w:spacing w:before="220" w:after="0"/>
        <w:ind w:firstLine="540"/>
        <w:jc w:val="both"/>
        <w:rPr>
          <w:rFonts w:ascii="Times New Roman" w:hAnsi="Times New Roman" w:cs="Times New Roman"/>
          <w:sz w:val="28"/>
          <w:szCs w:val="28"/>
        </w:rPr>
      </w:pPr>
      <w:bookmarkStart w:id="3" w:name="P2097"/>
      <w:bookmarkEnd w:id="3"/>
      <w:r>
        <w:rPr>
          <w:rFonts w:cs="Times New Roman" w:ascii="Times New Roman" w:hAnsi="Times New Roman"/>
          <w:sz w:val="28"/>
          <w:szCs w:val="28"/>
        </w:rPr>
        <w:t>8. Критериями отбора муниципальных образований для предоставления субсидии являются: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 наличие с учетом демографического прогноза потребности муниципального района и городского округа в обеспечении новыми местами обучающихся в общеобразовательных организациях в одну смену;</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 наличие зданий с уровнем износа 50 процентов и выше, в которых реализуются основные общеобразовательные программы начального общего, основного общего и среднего общего образования;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 наличие обязательства муниципального образования по обеспечению создания новых мест в общеобразовательных организациях в соответствии с прогнозируемой потребностью и современными условиями обучения, включая оснащение новых мест средствами обучения и воспитания, необходимыми для реализации образовательных программ начального общего, основного общего и среднего общего образования, в соответствии с перечнем, утвержденным Минпросвещения России.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 xml:space="preserve">9. Главный распорядитель бюджетных средств с учетом критериев, перечисленных в </w:t>
      </w:r>
      <w:hyperlink w:anchor="P2097">
        <w:r>
          <w:rPr>
            <w:rFonts w:cs="Times New Roman" w:ascii="Times New Roman" w:hAnsi="Times New Roman"/>
            <w:color w:val="0000FF"/>
            <w:sz w:val="28"/>
            <w:szCs w:val="28"/>
          </w:rPr>
          <w:t>пункте 8</w:t>
        </w:r>
      </w:hyperlink>
      <w:r>
        <w:rPr>
          <w:rFonts w:cs="Times New Roman" w:ascii="Times New Roman" w:hAnsi="Times New Roman"/>
          <w:sz w:val="28"/>
          <w:szCs w:val="28"/>
        </w:rPr>
        <w:t xml:space="preserve"> настоящего Порядка, определяет перечень муниципальных образований для предоставления субсидий на цели, указанные в </w:t>
      </w:r>
      <w:hyperlink w:anchor="P2091">
        <w:r>
          <w:rPr>
            <w:rFonts w:cs="Times New Roman" w:ascii="Times New Roman" w:hAnsi="Times New Roman"/>
            <w:color w:val="0000FF"/>
            <w:sz w:val="28"/>
            <w:szCs w:val="28"/>
          </w:rPr>
          <w:t>пункте 2</w:t>
        </w:r>
      </w:hyperlink>
      <w:r>
        <w:rPr>
          <w:rFonts w:cs="Times New Roman" w:ascii="Times New Roman" w:hAnsi="Times New Roman"/>
          <w:sz w:val="28"/>
          <w:szCs w:val="28"/>
        </w:rPr>
        <w:t xml:space="preserve"> настоящего Порядка.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 xml:space="preserve">10. Распределение субсидий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 Внесение изменений осуществляется в соответствии с </w:t>
      </w:r>
      <w:hyperlink r:id="rId2">
        <w:r>
          <w:rPr>
            <w:rFonts w:cs="Times New Roman" w:ascii="Times New Roman" w:hAnsi="Times New Roman"/>
            <w:color w:val="0000FF"/>
            <w:sz w:val="28"/>
            <w:szCs w:val="28"/>
          </w:rPr>
          <w:t>Законом</w:t>
        </w:r>
      </w:hyperlink>
      <w:r>
        <w:rPr>
          <w:rFonts w:cs="Times New Roman" w:ascii="Times New Roman" w:hAnsi="Times New Roman"/>
          <w:sz w:val="28"/>
          <w:szCs w:val="28"/>
        </w:rPr>
        <w:t xml:space="preserve"> Брянской области "О межбюджетных отношениях в Брянской области".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11. Предоставление субсидии осуществляется в соответствии с пунктом 10 настоящего Порядка и соглашением, заключенным в государственной интегрированной информационной системе управления общественными финансами "Электронный бюджет" (далее - система "Электронный бюджет"). В соглашении предусматриваются положения пункта 10 Правил формирования, предоставления и распределения субсидий.</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12. Соглашения и дополнительные соглашения к соглашению, предусматривающие внесение в него изменений и его расторжение, заключаются по типовой форме, предусмотренной в системе "Электронный бюджет".</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13.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счета, открытые территориальным органом федерального казначейства в учреждениях Центрального банка Российской Федерации для учета операции со средствами бюджетов муниципальных образований.</w:t>
      </w:r>
    </w:p>
    <w:p>
      <w:pPr>
        <w:pStyle w:val="ConsPlusNormal"/>
        <w:spacing w:before="220" w:after="0"/>
        <w:ind w:firstLine="540"/>
        <w:jc w:val="both"/>
        <w:rPr>
          <w:rFonts w:ascii="Times New Roman" w:hAnsi="Times New Roman" w:cs="Times New Roman"/>
          <w:sz w:val="28"/>
          <w:szCs w:val="28"/>
        </w:rPr>
      </w:pPr>
      <w:bookmarkStart w:id="4" w:name="P2107"/>
      <w:bookmarkEnd w:id="4"/>
      <w:r>
        <w:rPr>
          <w:rFonts w:cs="Times New Roman" w:ascii="Times New Roman" w:hAnsi="Times New Roman"/>
          <w:sz w:val="28"/>
          <w:szCs w:val="28"/>
        </w:rPr>
        <w:t>14. Оценка эффективности осуществления расходов бюджетами муниципальных образований, источником финансового обеспечения которых является предоставляемая субсидия, осуществляется департаментом образования и науки Брянской области на основании сравнения планируемого и достигнутого значения результата использования субсидии  - количество новых мест в общеобразовательных организациях муниципальных образований.</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15. Орган местного самоуправления муниципального образования размещает в сроки, установленные соглашением, в системе "Электронный бюджет":</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отчет о расходах бюджета муниципального образования, в целях софинансирования которых предоставлена субсидия;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отчет о достижении значения результата использования субсидии.</w:t>
      </w:r>
    </w:p>
    <w:p>
      <w:pPr>
        <w:pStyle w:val="ConsPlusNormal"/>
        <w:spacing w:before="220" w:after="0"/>
        <w:ind w:firstLine="540"/>
        <w:jc w:val="both"/>
        <w:rPr>
          <w:rFonts w:ascii="Times New Roman" w:hAnsi="Times New Roman" w:cs="Times New Roman"/>
          <w:sz w:val="28"/>
          <w:szCs w:val="28"/>
        </w:rPr>
      </w:pPr>
      <w:bookmarkStart w:id="5" w:name="P2111"/>
      <w:bookmarkEnd w:id="5"/>
      <w:r>
        <w:rPr>
          <w:rFonts w:cs="Times New Roman" w:ascii="Times New Roman" w:hAnsi="Times New Roman"/>
          <w:sz w:val="28"/>
          <w:szCs w:val="28"/>
        </w:rPr>
        <w:t xml:space="preserve">16.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w:t>
      </w:r>
      <w:hyperlink w:anchor="P2107">
        <w:r>
          <w:rPr>
            <w:rFonts w:cs="Times New Roman" w:ascii="Times New Roman" w:hAnsi="Times New Roman"/>
            <w:color w:val="0000FF"/>
            <w:sz w:val="28"/>
            <w:szCs w:val="28"/>
          </w:rPr>
          <w:t>пунктом 14</w:t>
        </w:r>
      </w:hyperlink>
      <w:r>
        <w:rPr>
          <w:rFonts w:cs="Times New Roman" w:ascii="Times New Roman" w:hAnsi="Times New Roman"/>
          <w:sz w:val="28"/>
          <w:szCs w:val="28"/>
        </w:rPr>
        <w:t xml:space="preserve"> настоящего Порядка, и в срок до первой даты представления отчетности о достижении значений результата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субсидии (V</w:t>
      </w:r>
      <w:r>
        <w:rPr>
          <w:rFonts w:cs="Times New Roman" w:ascii="Times New Roman" w:hAnsi="Times New Roman"/>
          <w:sz w:val="28"/>
          <w:szCs w:val="28"/>
          <w:vertAlign w:val="subscript"/>
        </w:rPr>
        <w:t>возврата</w:t>
      </w:r>
      <w:r>
        <w:rPr>
          <w:rFonts w:cs="Times New Roman" w:ascii="Times New Roman" w:hAnsi="Times New Roman"/>
          <w:sz w:val="28"/>
          <w:szCs w:val="28"/>
        </w:rPr>
        <w:t>), рассчитывается по формуле:</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center"/>
        <w:rPr>
          <w:rFonts w:ascii="Times New Roman" w:hAnsi="Times New Roman" w:cs="Times New Roman"/>
          <w:sz w:val="28"/>
          <w:szCs w:val="28"/>
        </w:rPr>
      </w:pPr>
      <w:r>
        <w:rPr>
          <w:rFonts w:cs="Times New Roman" w:ascii="Times New Roman" w:hAnsi="Times New Roman"/>
          <w:sz w:val="28"/>
          <w:szCs w:val="28"/>
        </w:rPr>
        <w:t>Vвозврата = (Vсубсидии x k x m / n) * 0,1, где:</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V</w:t>
      </w:r>
      <w:r>
        <w:rPr>
          <w:rFonts w:cs="Times New Roman" w:ascii="Times New Roman" w:hAnsi="Times New Roman"/>
          <w:sz w:val="28"/>
          <w:szCs w:val="28"/>
          <w:vertAlign w:val="subscript"/>
        </w:rPr>
        <w:t>субсидии</w:t>
      </w:r>
      <w:r>
        <w:rPr>
          <w:rFonts w:cs="Times New Roman" w:ascii="Times New Roman" w:hAnsi="Times New Roman"/>
          <w:sz w:val="28"/>
          <w:szCs w:val="28"/>
        </w:rPr>
        <w:t xml:space="preserve"> - размер субсидии, предоставленной бюджету муниципального образования в отчетном финансовом году;</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m - количество показателей результативности использования субсидии, по которым индекс, отражающий уровень недостижения i-го показателя результата использования субсидии, имеет положительное значение;</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n - общее количество показателей результата использования субсидии;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k - коэффициент возврата субсидии.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(V субсидии),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субсидий.</w:t>
      </w:r>
    </w:p>
    <w:p>
      <w:pPr>
        <w:pStyle w:val="ConsPlusNormal"/>
        <w:spacing w:before="220" w:after="0"/>
        <w:ind w:firstLine="540"/>
        <w:jc w:val="both"/>
        <w:rPr>
          <w:rFonts w:ascii="Times New Roman" w:hAnsi="Times New Roman" w:cs="Times New Roman"/>
          <w:sz w:val="28"/>
          <w:szCs w:val="28"/>
        </w:rPr>
      </w:pPr>
      <w:bookmarkStart w:id="6" w:name="P2120"/>
      <w:bookmarkEnd w:id="6"/>
      <w:r>
        <w:rPr>
          <w:rFonts w:cs="Times New Roman" w:ascii="Times New Roman" w:hAnsi="Times New Roman"/>
          <w:sz w:val="28"/>
          <w:szCs w:val="28"/>
        </w:rPr>
        <w:t xml:space="preserve">17.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w:t>
      </w:r>
      <w:hyperlink w:anchor="P2091">
        <w:r>
          <w:rPr>
            <w:rFonts w:cs="Times New Roman" w:ascii="Times New Roman" w:hAnsi="Times New Roman"/>
            <w:color w:val="0000FF"/>
            <w:sz w:val="28"/>
            <w:szCs w:val="28"/>
          </w:rPr>
          <w:t>пунктом 2</w:t>
        </w:r>
      </w:hyperlink>
      <w:r>
        <w:rPr>
          <w:rFonts w:cs="Times New Roman" w:ascii="Times New Roman" w:hAnsi="Times New Roman"/>
          <w:sz w:val="28"/>
          <w:szCs w:val="28"/>
        </w:rPr>
        <w:t xml:space="preserve">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без учета размера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пунктом 18 настоящего Порядка.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 xml:space="preserve">18. Основанием для освобождения муниципальных образований от применения мер ответственности, предусмотренных </w:t>
      </w:r>
      <w:hyperlink w:anchor="P2107">
        <w:r>
          <w:rPr>
            <w:rFonts w:cs="Times New Roman" w:ascii="Times New Roman" w:hAnsi="Times New Roman"/>
            <w:color w:val="0000FF"/>
            <w:sz w:val="28"/>
            <w:szCs w:val="28"/>
          </w:rPr>
          <w:t>пунктами 1</w:t>
        </w:r>
      </w:hyperlink>
      <w:r>
        <w:rPr>
          <w:rFonts w:cs="Times New Roman" w:ascii="Times New Roman" w:hAnsi="Times New Roman"/>
          <w:color w:val="0000FF"/>
          <w:sz w:val="28"/>
          <w:szCs w:val="28"/>
        </w:rPr>
        <w:t>6, 17</w:t>
      </w:r>
      <w:r>
        <w:rPr>
          <w:rFonts w:cs="Times New Roman" w:ascii="Times New Roman" w:hAnsi="Times New Roman"/>
          <w:sz w:val="28"/>
          <w:szCs w:val="28"/>
        </w:rPr>
        <w:t xml:space="preserve">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 xml:space="preserve">В случае отсутствия оснований для освобождения муниципальных образований Брянской области от применения мер ответственности, предусмотренных </w:t>
      </w:r>
      <w:hyperlink w:anchor="P2107">
        <w:r>
          <w:rPr>
            <w:rFonts w:cs="Times New Roman" w:ascii="Times New Roman" w:hAnsi="Times New Roman"/>
            <w:color w:val="0000FF"/>
            <w:sz w:val="28"/>
            <w:szCs w:val="28"/>
          </w:rPr>
          <w:t>пунктами 1</w:t>
        </w:r>
      </w:hyperlink>
      <w:r>
        <w:rPr>
          <w:rFonts w:cs="Times New Roman" w:ascii="Times New Roman" w:hAnsi="Times New Roman"/>
          <w:color w:val="0000FF"/>
          <w:sz w:val="28"/>
          <w:szCs w:val="28"/>
        </w:rPr>
        <w:t>6, 17</w:t>
      </w:r>
      <w:r>
        <w:rPr>
          <w:rFonts w:cs="Times New Roman" w:ascii="Times New Roman" w:hAnsi="Times New Roman"/>
          <w:sz w:val="28"/>
          <w:szCs w:val="28"/>
        </w:rPr>
        <w:t xml:space="preserve">, департамент образования и науки Брянской области не позднее 20 апреля года, следующего за годом предоставления субсидии, представляет в департамент финансов Брянской области предложения о перераспределении средств, подлежащих возврату в доход областного бюджета в соответствии с </w:t>
      </w:r>
      <w:hyperlink w:anchor="P2111">
        <w:r>
          <w:rPr>
            <w:rFonts w:cs="Times New Roman" w:ascii="Times New Roman" w:hAnsi="Times New Roman"/>
            <w:color w:val="0000FF"/>
            <w:sz w:val="28"/>
            <w:szCs w:val="28"/>
          </w:rPr>
          <w:t>пунктами 1</w:t>
        </w:r>
      </w:hyperlink>
      <w:r>
        <w:rPr>
          <w:rFonts w:cs="Times New Roman" w:ascii="Times New Roman" w:hAnsi="Times New Roman"/>
          <w:color w:val="0000FF"/>
          <w:sz w:val="28"/>
          <w:szCs w:val="28"/>
        </w:rPr>
        <w:t>6</w:t>
      </w:r>
      <w:r>
        <w:rPr>
          <w:rFonts w:cs="Times New Roman" w:ascii="Times New Roman" w:hAnsi="Times New Roman"/>
          <w:sz w:val="28"/>
          <w:szCs w:val="28"/>
        </w:rPr>
        <w:t xml:space="preserve"> и </w:t>
      </w:r>
      <w:hyperlink w:anchor="P2120">
        <w:r>
          <w:rPr>
            <w:rFonts w:cs="Times New Roman" w:ascii="Times New Roman" w:hAnsi="Times New Roman"/>
            <w:color w:val="0000FF"/>
            <w:sz w:val="28"/>
            <w:szCs w:val="28"/>
          </w:rPr>
          <w:t>1</w:t>
        </w:r>
      </w:hyperlink>
      <w:r>
        <w:rPr>
          <w:rFonts w:cs="Times New Roman" w:ascii="Times New Roman" w:hAnsi="Times New Roman"/>
          <w:color w:val="0000FF"/>
          <w:sz w:val="28"/>
          <w:szCs w:val="28"/>
        </w:rPr>
        <w:t>7</w:t>
      </w:r>
      <w:r>
        <w:rPr>
          <w:rFonts w:cs="Times New Roman" w:ascii="Times New Roman" w:hAnsi="Times New Roman"/>
          <w:sz w:val="28"/>
          <w:szCs w:val="28"/>
        </w:rPr>
        <w:t xml:space="preserve"> настоящего Порядка, на иные цели.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19. Главный распорядитель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w:t>
      </w:r>
    </w:p>
    <w:p>
      <w:pPr>
        <w:pStyle w:val="ConsPlusNormal"/>
        <w:spacing w:before="280" w:after="0"/>
        <w:ind w:firstLine="540"/>
        <w:jc w:val="both"/>
        <w:rPr>
          <w:rFonts w:ascii="Times New Roman" w:hAnsi="Times New Roman" w:cs="Times New Roman"/>
          <w:sz w:val="28"/>
          <w:szCs w:val="28"/>
        </w:rPr>
      </w:pPr>
      <w:r>
        <w:rPr>
          <w:rFonts w:cs="Times New Roman" w:ascii="Times New Roman" w:hAnsi="Times New Roman"/>
          <w:sz w:val="28"/>
          <w:szCs w:val="28"/>
        </w:rPr>
        <w:t>20. Органы местного самоуправления муниципальных образований обеспечивают целевое и эффективное использование бюджетных средств.</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Департамент образования и науки Брянской области осуществляет контроль за целевым использованием бюджетных средств.</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 xml:space="preserve">21.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w:t>
      </w:r>
      <w:hyperlink w:anchor="P2111">
        <w:r>
          <w:rPr>
            <w:rFonts w:cs="Times New Roman" w:ascii="Times New Roman" w:hAnsi="Times New Roman"/>
            <w:color w:val="0000FF"/>
            <w:sz w:val="28"/>
            <w:szCs w:val="28"/>
          </w:rPr>
          <w:t>пунктами 1</w:t>
        </w:r>
      </w:hyperlink>
      <w:r>
        <w:rPr>
          <w:rFonts w:cs="Times New Roman" w:ascii="Times New Roman" w:hAnsi="Times New Roman"/>
          <w:color w:val="0000FF"/>
          <w:sz w:val="28"/>
          <w:szCs w:val="28"/>
        </w:rPr>
        <w:t>6</w:t>
      </w:r>
      <w:r>
        <w:rPr>
          <w:rFonts w:cs="Times New Roman" w:ascii="Times New Roman" w:hAnsi="Times New Roman"/>
          <w:sz w:val="28"/>
          <w:szCs w:val="28"/>
        </w:rPr>
        <w:t xml:space="preserve"> и </w:t>
      </w:r>
      <w:hyperlink w:anchor="P2120">
        <w:r>
          <w:rPr>
            <w:rFonts w:cs="Times New Roman" w:ascii="Times New Roman" w:hAnsi="Times New Roman"/>
            <w:color w:val="0000FF"/>
            <w:sz w:val="28"/>
            <w:szCs w:val="28"/>
          </w:rPr>
          <w:t>1</w:t>
        </w:r>
      </w:hyperlink>
      <w:r>
        <w:rPr>
          <w:rFonts w:cs="Times New Roman" w:ascii="Times New Roman" w:hAnsi="Times New Roman"/>
          <w:color w:val="0000FF"/>
          <w:sz w:val="28"/>
          <w:szCs w:val="28"/>
        </w:rPr>
        <w:t>7</w:t>
      </w:r>
      <w:r>
        <w:rPr>
          <w:rFonts w:cs="Times New Roman" w:ascii="Times New Roman" w:hAnsi="Times New Roman"/>
          <w:sz w:val="28"/>
          <w:szCs w:val="28"/>
        </w:rPr>
        <w:t xml:space="preserve"> настоящего Порядка, к нему применяются бюджетные меры принуждения, предусмотренные бюджетным законодательством Российской Федерации.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Методика</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распределения субсидий бюджетам муниципальных образований</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на создание новых мест в общеобразовательных организациях</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в рамках регионального проекта "Современная школа (Брянская область)"</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государственной программы "Создание новых мест</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в общеобразовательных организациях Брянской области</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в соответствии с прогнозируемой потребностью и современными</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условиями обучения" (за исключением софинансирования</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объектов капитальных вложений муниципальной собственности)</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Субсидии предоставляются бюджетам муниципальных образований на оснащение новых мест средствами обучения и воспитания, необходимыми для реализации образовательных программ начального общего, основного общего и среднего общего образования в рамках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Размер субсидии бюджету i-муниципального образования определяется по формуле:</w:t>
      </w:r>
    </w:p>
    <w:p>
      <w:pPr>
        <w:pStyle w:val="Normal"/>
        <w:jc w:val="center"/>
        <w:rPr>
          <w:rFonts w:ascii="Times New Roman" w:hAnsi="Times New Roman" w:cs="Times New Roman"/>
          <w:sz w:val="28"/>
          <w:szCs w:val="28"/>
        </w:rPr>
      </w:pPr>
      <w:r>
        <w:rPr>
          <w:rFonts w:cs="Times New Roman" w:ascii="Times New Roman" w:hAnsi="Times New Roman"/>
          <w:sz w:val="28"/>
          <w:szCs w:val="28"/>
        </w:rPr>
        <w:t>S</w:t>
      </w:r>
      <w:r>
        <w:rPr>
          <w:rFonts w:cs="Times New Roman" w:ascii="Times New Roman" w:hAnsi="Times New Roman"/>
          <w:sz w:val="28"/>
          <w:szCs w:val="28"/>
          <w:vertAlign w:val="subscript"/>
        </w:rPr>
        <w:t>i</w:t>
      </w:r>
      <w:r>
        <w:rPr>
          <w:rFonts w:cs="Times New Roman" w:ascii="Times New Roman" w:hAnsi="Times New Roman"/>
          <w:sz w:val="28"/>
          <w:szCs w:val="28"/>
        </w:rPr>
        <w:t xml:space="preserve"> = N</w:t>
      </w:r>
      <w:r>
        <w:rPr>
          <w:rFonts w:cs="Times New Roman" w:ascii="Times New Roman" w:hAnsi="Times New Roman"/>
          <w:sz w:val="28"/>
          <w:szCs w:val="28"/>
          <w:vertAlign w:val="subscript"/>
        </w:rPr>
        <w:t>i</w:t>
      </w:r>
      <w:r>
        <w:rPr>
          <w:rFonts w:cs="Times New Roman" w:ascii="Times New Roman" w:hAnsi="Times New Roman"/>
          <w:sz w:val="28"/>
          <w:szCs w:val="28"/>
        </w:rPr>
        <w:t xml:space="preserve"> * R</w:t>
      </w:r>
      <w:r>
        <w:rPr>
          <w:rFonts w:cs="Times New Roman" w:ascii="Times New Roman" w:hAnsi="Times New Roman"/>
          <w:sz w:val="28"/>
          <w:szCs w:val="28"/>
          <w:vertAlign w:val="subscript"/>
        </w:rPr>
        <w:t>1</w:t>
      </w:r>
      <w:r>
        <w:rPr>
          <w:rFonts w:cs="Times New Roman" w:ascii="Times New Roman" w:hAnsi="Times New Roman"/>
          <w:sz w:val="28"/>
          <w:szCs w:val="28"/>
        </w:rPr>
        <w:t>,</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где:</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S</w:t>
      </w:r>
      <w:r>
        <w:rPr>
          <w:rFonts w:cs="Times New Roman" w:ascii="Times New Roman" w:hAnsi="Times New Roman"/>
          <w:sz w:val="28"/>
          <w:szCs w:val="28"/>
          <w:vertAlign w:val="subscript"/>
        </w:rPr>
        <w:t>i</w:t>
      </w:r>
      <w:r>
        <w:rPr>
          <w:rFonts w:cs="Times New Roman" w:ascii="Times New Roman" w:hAnsi="Times New Roman"/>
          <w:sz w:val="28"/>
          <w:szCs w:val="28"/>
        </w:rPr>
        <w:t xml:space="preserve"> - размер субсидии бюджету i-муниципального образования на;</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N</w:t>
      </w:r>
      <w:r>
        <w:rPr>
          <w:rFonts w:cs="Times New Roman" w:ascii="Times New Roman" w:hAnsi="Times New Roman"/>
          <w:sz w:val="28"/>
          <w:szCs w:val="28"/>
          <w:vertAlign w:val="subscript"/>
        </w:rPr>
        <w:t>i</w:t>
      </w:r>
      <w:r>
        <w:rPr>
          <w:rFonts w:cs="Times New Roman" w:ascii="Times New Roman" w:hAnsi="Times New Roman"/>
          <w:sz w:val="28"/>
          <w:szCs w:val="28"/>
        </w:rPr>
        <w:t xml:space="preserve"> - количество создаваемых новых учебных мест в i-м муниципальном образовании в соответствующем финансовым году;</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R</w:t>
      </w:r>
      <w:r>
        <w:rPr>
          <w:rFonts w:cs="Times New Roman" w:ascii="Times New Roman" w:hAnsi="Times New Roman"/>
          <w:sz w:val="28"/>
          <w:szCs w:val="28"/>
          <w:vertAlign w:val="subscript"/>
        </w:rPr>
        <w:t>1</w:t>
      </w:r>
      <w:r>
        <w:rPr>
          <w:rFonts w:cs="Times New Roman" w:ascii="Times New Roman" w:hAnsi="Times New Roman"/>
          <w:sz w:val="28"/>
          <w:szCs w:val="28"/>
        </w:rPr>
        <w:t xml:space="preserve"> - стоимость затрат на оснащение одного места средствами обучения и воспитания, необходимыми для реализации образовательных программ начального общего, основного общего и среднего общего образования, в соответствии с перечнем Минпросвещения России;</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R</w:t>
      </w:r>
      <w:r>
        <w:rPr>
          <w:rFonts w:cs="Times New Roman" w:ascii="Times New Roman" w:hAnsi="Times New Roman"/>
          <w:sz w:val="28"/>
          <w:szCs w:val="28"/>
          <w:vertAlign w:val="subscript"/>
        </w:rPr>
        <w:t>1</w:t>
      </w:r>
      <w:r>
        <w:rPr>
          <w:rFonts w:cs="Times New Roman" w:ascii="Times New Roman" w:hAnsi="Times New Roman"/>
          <w:sz w:val="28"/>
          <w:szCs w:val="28"/>
        </w:rPr>
        <w:t xml:space="preserve"> - определяется по формуле:</w:t>
      </w:r>
    </w:p>
    <w:p>
      <w:pPr>
        <w:pStyle w:val="Normal"/>
        <w:ind w:firstLine="708"/>
        <w:jc w:val="center"/>
        <w:rPr>
          <w:rFonts w:ascii="Times New Roman" w:hAnsi="Times New Roman" w:cs="Times New Roman"/>
          <w:sz w:val="28"/>
          <w:szCs w:val="28"/>
        </w:rPr>
      </w:pPr>
      <w:r>
        <w:rPr>
          <w:rFonts w:cs="Times New Roman" w:ascii="Times New Roman" w:hAnsi="Times New Roman"/>
          <w:sz w:val="28"/>
          <w:szCs w:val="28"/>
        </w:rPr>
        <w:t>R</w:t>
      </w:r>
      <w:r>
        <w:rPr>
          <w:rFonts w:cs="Times New Roman" w:ascii="Times New Roman" w:hAnsi="Times New Roman"/>
          <w:sz w:val="28"/>
          <w:szCs w:val="28"/>
          <w:vertAlign w:val="subscript"/>
        </w:rPr>
        <w:t>1</w:t>
      </w:r>
      <w:r>
        <w:rPr>
          <w:rFonts w:cs="Times New Roman" w:ascii="Times New Roman" w:hAnsi="Times New Roman"/>
          <w:sz w:val="28"/>
          <w:szCs w:val="28"/>
        </w:rPr>
        <w:t xml:space="preserve"> = S </w:t>
      </w:r>
      <w:r>
        <w:rPr>
          <w:rFonts w:cs="Times New Roman" w:ascii="Times New Roman" w:hAnsi="Times New Roman"/>
          <w:sz w:val="28"/>
          <w:szCs w:val="28"/>
          <w:vertAlign w:val="subscript"/>
        </w:rPr>
        <w:t>общ.</w:t>
      </w:r>
      <w:r>
        <w:rPr>
          <w:rFonts w:cs="Times New Roman" w:ascii="Times New Roman" w:hAnsi="Times New Roman"/>
          <w:sz w:val="28"/>
          <w:szCs w:val="28"/>
        </w:rPr>
        <w:t xml:space="preserve"> : N </w:t>
      </w:r>
      <w:r>
        <w:rPr>
          <w:rFonts w:cs="Times New Roman" w:ascii="Times New Roman" w:hAnsi="Times New Roman"/>
          <w:sz w:val="28"/>
          <w:szCs w:val="28"/>
          <w:vertAlign w:val="subscript"/>
        </w:rPr>
        <w:t>общ.</w:t>
      </w:r>
      <w:r>
        <w:rPr>
          <w:rFonts w:cs="Times New Roman" w:ascii="Times New Roman" w:hAnsi="Times New Roman"/>
          <w:sz w:val="28"/>
          <w:szCs w:val="28"/>
        </w:rPr>
        <w:t>, где:</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S</w:t>
      </w:r>
      <w:r>
        <w:rPr>
          <w:rFonts w:cs="Times New Roman" w:ascii="Times New Roman" w:hAnsi="Times New Roman"/>
          <w:sz w:val="28"/>
          <w:szCs w:val="28"/>
          <w:vertAlign w:val="subscript"/>
        </w:rPr>
        <w:t>общ.</w:t>
      </w:r>
      <w:r>
        <w:rPr>
          <w:rFonts w:cs="Times New Roman" w:ascii="Times New Roman" w:hAnsi="Times New Roman"/>
          <w:sz w:val="28"/>
          <w:szCs w:val="28"/>
        </w:rPr>
        <w:t xml:space="preserve"> - общий размер субсидии на оснащение создаваемых новых мест средствами обучения и воспитания, необходимыми для реализации образовательных программ начального общего, основного общего и среднего общего образования, в соответствии с перечнем Минпросвещения России, подлежащей к распределению между бюджетами муниципальных образований в соответствии с законом Брянской области об областном бюджете на соответствующий финансовый год;</w:t>
      </w:r>
    </w:p>
    <w:p>
      <w:pPr>
        <w:pStyle w:val="Normal"/>
        <w:spacing w:before="0" w:after="200"/>
        <w:ind w:firstLine="708"/>
        <w:jc w:val="both"/>
        <w:rPr>
          <w:rFonts w:ascii="Times New Roman" w:hAnsi="Times New Roman" w:cs="Times New Roman"/>
          <w:sz w:val="28"/>
          <w:szCs w:val="28"/>
        </w:rPr>
      </w:pPr>
      <w:r>
        <w:rPr>
          <w:rFonts w:cs="Times New Roman" w:ascii="Times New Roman" w:hAnsi="Times New Roman"/>
          <w:sz w:val="28"/>
          <w:szCs w:val="28"/>
        </w:rPr>
        <w:t>N</w:t>
      </w:r>
      <w:r>
        <w:rPr>
          <w:rFonts w:cs="Times New Roman" w:ascii="Times New Roman" w:hAnsi="Times New Roman"/>
          <w:sz w:val="28"/>
          <w:szCs w:val="28"/>
          <w:vertAlign w:val="subscript"/>
        </w:rPr>
        <w:t>общ.</w:t>
      </w:r>
      <w:r>
        <w:rPr>
          <w:rFonts w:cs="Times New Roman" w:ascii="Times New Roman" w:hAnsi="Times New Roman"/>
          <w:sz w:val="28"/>
          <w:szCs w:val="28"/>
        </w:rPr>
        <w:t xml:space="preserve"> - общее количество создаваемых учебных мест в течение соответствующего финансового года.</w:t>
      </w:r>
    </w:p>
    <w:sectPr>
      <w:type w:val="nextPage"/>
      <w:pgSz w:w="11906" w:h="16838"/>
      <w:pgMar w:left="1701" w:right="851" w:header="0" w:top="851" w:footer="0" w:bottom="851"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ahoma">
    <w:charset w:val="cc"/>
    <w:family w:val="roman"/>
    <w:pitch w:val="variable"/>
  </w:font>
  <w:font w:name="Liberation Sans">
    <w:altName w:val="Arial"/>
    <w:charset w:val="cc"/>
    <w:family w:val="swiss"/>
    <w:pitch w:val="variable"/>
  </w:font>
  <w:font w:name="Courier New">
    <w:charset w:val="cc"/>
    <w:family w:val="roman"/>
    <w:pitch w:val="variable"/>
  </w:font>
  <w:font w:name="Arial">
    <w:charset w:val="cc"/>
    <w:family w:val="roman"/>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Текст выноски Знак"/>
    <w:basedOn w:val="DefaultParagraphFont"/>
    <w:link w:val="a3"/>
    <w:uiPriority w:val="99"/>
    <w:semiHidden/>
    <w:qFormat/>
    <w:rsid w:val="00646b41"/>
    <w:rPr>
      <w:rFonts w:ascii="Tahoma" w:hAnsi="Tahoma" w:cs="Tahoma"/>
      <w:sz w:val="16"/>
      <w:szCs w:val="16"/>
    </w:rPr>
  </w:style>
  <w:style w:type="character" w:styleId="Style15">
    <w:name w:val="Интернет-ссылка"/>
    <w:rPr>
      <w:color w:val="000080"/>
      <w:u w:val="single"/>
      <w:lang w:val="zxx" w:eastAsia="zxx" w:bidi="zxx"/>
    </w:rPr>
  </w:style>
  <w:style w:type="paragraph" w:styleId="Style16">
    <w:name w:val="Заголовок"/>
    <w:basedOn w:val="Normal"/>
    <w:next w:val="Style17"/>
    <w:qFormat/>
    <w:pPr>
      <w:keepNext w:val="true"/>
      <w:spacing w:before="240" w:after="120"/>
    </w:pPr>
    <w:rPr>
      <w:rFonts w:ascii="Liberation Sans" w:hAnsi="Liberation Sans" w:eastAsia="Microsoft YaHei" w:cs="Arial Unicode MS"/>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cs="Arial Unicode MS"/>
    </w:rPr>
  </w:style>
  <w:style w:type="paragraph" w:styleId="Style19">
    <w:name w:val="Caption"/>
    <w:basedOn w:val="Normal"/>
    <w:qFormat/>
    <w:pPr>
      <w:suppressLineNumbers/>
      <w:spacing w:before="120" w:after="120"/>
    </w:pPr>
    <w:rPr>
      <w:rFonts w:cs="Arial Unicode MS"/>
      <w:i/>
      <w:iCs/>
      <w:sz w:val="24"/>
      <w:szCs w:val="24"/>
    </w:rPr>
  </w:style>
  <w:style w:type="paragraph" w:styleId="Style20">
    <w:name w:val="Указатель"/>
    <w:basedOn w:val="Normal"/>
    <w:qFormat/>
    <w:pPr>
      <w:suppressLineNumbers/>
    </w:pPr>
    <w:rPr>
      <w:rFonts w:cs="Arial Unicode MS"/>
    </w:rPr>
  </w:style>
  <w:style w:type="paragraph" w:styleId="ConsPlusNormal" w:customStyle="1">
    <w:name w:val="ConsPlusNormal"/>
    <w:qFormat/>
    <w:rsid w:val="00a33afd"/>
    <w:pPr>
      <w:widowControl w:val="false"/>
      <w:bidi w:val="0"/>
      <w:spacing w:lineRule="auto" w:line="240" w:before="0" w:after="0"/>
      <w:jc w:val="left"/>
    </w:pPr>
    <w:rPr>
      <w:rFonts w:ascii="Calibri" w:hAnsi="Calibri" w:eastAsia="Times New Roman" w:cs="Calibri" w:asciiTheme="minorHAnsi" w:hAnsiTheme="minorHAnsi"/>
      <w:color w:val="auto"/>
      <w:kern w:val="0"/>
      <w:sz w:val="22"/>
      <w:szCs w:val="20"/>
      <w:lang w:eastAsia="ru-RU" w:val="ru-RU" w:bidi="ar-SA"/>
    </w:rPr>
  </w:style>
  <w:style w:type="paragraph" w:styleId="ConsPlusNonformat" w:customStyle="1">
    <w:name w:val="ConsPlusNonformat"/>
    <w:qFormat/>
    <w:rsid w:val="00a33afd"/>
    <w:pPr>
      <w:widowControl w:val="false"/>
      <w:bidi w:val="0"/>
      <w:spacing w:lineRule="auto" w:line="240" w:before="0" w:after="0"/>
      <w:jc w:val="left"/>
    </w:pPr>
    <w:rPr>
      <w:rFonts w:ascii="Courier New" w:hAnsi="Courier New" w:eastAsia="Times New Roman" w:cs="Courier New"/>
      <w:color w:val="auto"/>
      <w:kern w:val="0"/>
      <w:sz w:val="20"/>
      <w:szCs w:val="20"/>
      <w:lang w:eastAsia="ru-RU" w:val="ru-RU" w:bidi="ar-SA"/>
    </w:rPr>
  </w:style>
  <w:style w:type="paragraph" w:styleId="ConsPlusTitle" w:customStyle="1">
    <w:name w:val="ConsPlusTitle"/>
    <w:qFormat/>
    <w:rsid w:val="00a33afd"/>
    <w:pPr>
      <w:widowControl w:val="false"/>
      <w:bidi w:val="0"/>
      <w:spacing w:lineRule="auto" w:line="240" w:before="0" w:after="0"/>
      <w:jc w:val="left"/>
    </w:pPr>
    <w:rPr>
      <w:rFonts w:ascii="Calibri" w:hAnsi="Calibri" w:eastAsia="Times New Roman" w:cs="Calibri" w:asciiTheme="minorHAnsi" w:hAnsiTheme="minorHAnsi"/>
      <w:b/>
      <w:color w:val="auto"/>
      <w:kern w:val="0"/>
      <w:sz w:val="22"/>
      <w:szCs w:val="20"/>
      <w:lang w:eastAsia="ru-RU" w:val="ru-RU" w:bidi="ar-SA"/>
    </w:rPr>
  </w:style>
  <w:style w:type="paragraph" w:styleId="ConsPlusCell" w:customStyle="1">
    <w:name w:val="ConsPlusCell"/>
    <w:qFormat/>
    <w:rsid w:val="00a33afd"/>
    <w:pPr>
      <w:widowControl w:val="false"/>
      <w:bidi w:val="0"/>
      <w:spacing w:lineRule="auto" w:line="240" w:before="0" w:after="0"/>
      <w:jc w:val="left"/>
    </w:pPr>
    <w:rPr>
      <w:rFonts w:ascii="Courier New" w:hAnsi="Courier New" w:eastAsia="Times New Roman" w:cs="Courier New"/>
      <w:color w:val="auto"/>
      <w:kern w:val="0"/>
      <w:sz w:val="20"/>
      <w:szCs w:val="20"/>
      <w:lang w:eastAsia="ru-RU" w:val="ru-RU" w:bidi="ar-SA"/>
    </w:rPr>
  </w:style>
  <w:style w:type="paragraph" w:styleId="ConsPlusDocList" w:customStyle="1">
    <w:name w:val="ConsPlusDocList"/>
    <w:qFormat/>
    <w:rsid w:val="00a33afd"/>
    <w:pPr>
      <w:widowControl w:val="false"/>
      <w:bidi w:val="0"/>
      <w:spacing w:lineRule="auto" w:line="240" w:before="0" w:after="0"/>
      <w:jc w:val="left"/>
    </w:pPr>
    <w:rPr>
      <w:rFonts w:ascii="Calibri" w:hAnsi="Calibri" w:eastAsia="Times New Roman" w:cs="Calibri" w:asciiTheme="minorHAnsi" w:hAnsiTheme="minorHAnsi"/>
      <w:color w:val="auto"/>
      <w:kern w:val="0"/>
      <w:sz w:val="22"/>
      <w:szCs w:val="20"/>
      <w:lang w:eastAsia="ru-RU" w:val="ru-RU" w:bidi="ar-SA"/>
    </w:rPr>
  </w:style>
  <w:style w:type="paragraph" w:styleId="ConsPlusTitlePage" w:customStyle="1">
    <w:name w:val="ConsPlusTitlePage"/>
    <w:qFormat/>
    <w:rsid w:val="00a33afd"/>
    <w:pPr>
      <w:widowControl w:val="false"/>
      <w:bidi w:val="0"/>
      <w:spacing w:lineRule="auto" w:line="240" w:before="0" w:after="0"/>
      <w:jc w:val="left"/>
    </w:pPr>
    <w:rPr>
      <w:rFonts w:ascii="Tahoma" w:hAnsi="Tahoma" w:eastAsia="Times New Roman" w:cs="Tahoma"/>
      <w:color w:val="auto"/>
      <w:kern w:val="0"/>
      <w:sz w:val="20"/>
      <w:szCs w:val="20"/>
      <w:lang w:eastAsia="ru-RU" w:val="ru-RU" w:bidi="ar-SA"/>
    </w:rPr>
  </w:style>
  <w:style w:type="paragraph" w:styleId="ConsPlusJurTerm" w:customStyle="1">
    <w:name w:val="ConsPlusJurTerm"/>
    <w:qFormat/>
    <w:rsid w:val="00a33afd"/>
    <w:pPr>
      <w:widowControl w:val="false"/>
      <w:bidi w:val="0"/>
      <w:spacing w:lineRule="auto" w:line="240" w:before="0" w:after="0"/>
      <w:jc w:val="left"/>
    </w:pPr>
    <w:rPr>
      <w:rFonts w:ascii="Tahoma" w:hAnsi="Tahoma" w:eastAsia="Times New Roman" w:cs="Tahoma"/>
      <w:color w:val="auto"/>
      <w:kern w:val="0"/>
      <w:sz w:val="26"/>
      <w:szCs w:val="20"/>
      <w:lang w:eastAsia="ru-RU" w:val="ru-RU" w:bidi="ar-SA"/>
    </w:rPr>
  </w:style>
  <w:style w:type="paragraph" w:styleId="ConsPlusTextList" w:customStyle="1">
    <w:name w:val="ConsPlusTextList"/>
    <w:qFormat/>
    <w:rsid w:val="00a33afd"/>
    <w:pPr>
      <w:widowControl w:val="false"/>
      <w:bidi w:val="0"/>
      <w:spacing w:lineRule="auto" w:line="240" w:before="0" w:after="0"/>
      <w:jc w:val="left"/>
    </w:pPr>
    <w:rPr>
      <w:rFonts w:ascii="Arial" w:hAnsi="Arial" w:eastAsia="Times New Roman" w:cs="Arial"/>
      <w:color w:val="auto"/>
      <w:kern w:val="0"/>
      <w:sz w:val="20"/>
      <w:szCs w:val="20"/>
      <w:lang w:eastAsia="ru-RU" w:val="ru-RU" w:bidi="ar-SA"/>
    </w:rPr>
  </w:style>
  <w:style w:type="paragraph" w:styleId="BalloonText">
    <w:name w:val="Balloon Text"/>
    <w:basedOn w:val="Normal"/>
    <w:link w:val="a4"/>
    <w:uiPriority w:val="99"/>
    <w:semiHidden/>
    <w:unhideWhenUsed/>
    <w:qFormat/>
    <w:rsid w:val="00646b41"/>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6F73EA4E05781C5D1D09336E5F2F00025E5A1F1065699B97717B02BDD59ED3C8F83C7C40D40C6CE07B56FF3F25CF1A30E077M" TargetMode="Externa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LibreOffice/7.0.1.2$Windows_X86_64 LibreOffice_project/7cbcfc562f6eb6708b5ff7d7397325de9e764452</Application>
  <Pages>4</Pages>
  <Words>1565</Words>
  <Characters>11928</Characters>
  <CharactersWithSpaces>13422</CharactersWithSpaces>
  <Paragraphs>72</Paragraphs>
  <Company>Krokoz™ Inc.</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2021-10-14T11:21:00Z</dcterms:created>
  <dc:creator>mtb-ch</dc:creator>
  <dc:description/>
  <dc:language>ru-RU</dc:language>
  <cp:lastModifiedBy>User</cp:lastModifiedBy>
  <dcterms:modified xsi:type="dcterms:W3CDTF">2021-10-14T11:21:00Z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Krokoz™ Inc.</vt:lpwstr>
  </property>
  <property fmtid="{D5CDD505-2E9C-101B-9397-08002B2CF9AE}" pid="4" name="DocSecurity">
    <vt:i4>4</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